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eastAsia" w:ascii="方正小标宋_GBK" w:hAnsi="方正小标宋_GBK" w:eastAsia="方正小标宋_GBK" w:cs="方正小标宋_GBK"/>
          <w:b w:val="0"/>
          <w:bCs w:val="0"/>
          <w:color w:val="auto"/>
          <w:spacing w:val="20"/>
          <w:w w:val="100"/>
          <w:kern w:val="0"/>
          <w:sz w:val="44"/>
          <w:szCs w:val="44"/>
          <w:highlight w:val="none"/>
          <w:lang w:val="en-US" w:eastAsia="zh-CN"/>
        </w:rPr>
      </w:pPr>
      <w:r>
        <w:rPr>
          <w:rFonts w:hint="eastAsia" w:ascii="方正小标宋_GBK" w:hAnsi="方正小标宋_GBK" w:eastAsia="方正小标宋_GBK" w:cs="方正小标宋_GBK"/>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eastAsia" w:ascii="方正小标宋_GBK" w:hAnsi="方正小标宋_GBK" w:eastAsia="方正小标宋_GBK" w:cs="方正小标宋_GBK"/>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w:t>
      </w:r>
      <w:r>
        <w:rPr>
          <w:rFonts w:hint="eastAsia" w:ascii="仿宋_GB2312" w:hAnsi="仿宋_GB2312" w:eastAsia="仿宋_GB2312" w:cs="仿宋_GB2312"/>
          <w:b w:val="0"/>
          <w:bCs w:val="0"/>
          <w:color w:val="auto"/>
          <w:sz w:val="32"/>
          <w:szCs w:val="32"/>
          <w:highlight w:val="none"/>
          <w:lang w:val="en-US" w:eastAsia="zh-CN"/>
        </w:rPr>
        <w:t>030</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4382</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auto"/>
          <w:spacing w:val="0"/>
          <w:w w:val="100"/>
          <w:position w:val="0"/>
          <w:sz w:val="32"/>
          <w:szCs w:val="32"/>
          <w:lang w:val="en-US" w:eastAsia="zh-CN"/>
        </w:rPr>
        <w:t>50</w:t>
      </w:r>
      <w:r>
        <w:rPr>
          <w:rFonts w:hint="default" w:ascii="Times New Roman" w:hAnsi="Times New Roman" w:eastAsia="仿宋_GB2312" w:cs="Times New Roman"/>
          <w:color w:val="000000"/>
          <w:spacing w:val="0"/>
          <w:w w:val="100"/>
          <w:position w:val="0"/>
          <w:sz w:val="32"/>
          <w:szCs w:val="32"/>
        </w:rPr>
        <w:t>万元</w:t>
      </w:r>
      <w:r>
        <w:rPr>
          <w:rFonts w:hint="default" w:ascii="Times New Roman" w:hAnsi="Times New Roman" w:eastAsia="仿宋_GB2312" w:cs="Times New Roman"/>
          <w:color w:val="000000"/>
          <w:spacing w:val="0"/>
          <w:w w:val="100"/>
          <w:position w:val="0"/>
          <w:sz w:val="32"/>
          <w:szCs w:val="32"/>
          <w:highlight w:val="none"/>
        </w:rPr>
        <w:t>的整数倍。</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highlight w:val="none"/>
        </w:rPr>
      </w:pPr>
      <w:bookmarkStart w:id="2" w:name="bookmark5"/>
      <w:r>
        <w:rPr>
          <w:rFonts w:hint="default" w:ascii="黑体" w:hAnsi="黑体" w:eastAsia="黑体" w:cs="黑体"/>
          <w:color w:val="000000"/>
          <w:spacing w:val="0"/>
          <w:w w:val="100"/>
          <w:position w:val="0"/>
          <w:sz w:val="32"/>
          <w:szCs w:val="32"/>
          <w:highlight w:val="none"/>
        </w:rPr>
        <w:t>三</w:t>
      </w:r>
      <w:bookmarkEnd w:id="2"/>
      <w:r>
        <w:rPr>
          <w:rFonts w:hint="default" w:ascii="黑体" w:hAnsi="黑体" w:eastAsia="黑体" w:cs="黑体"/>
          <w:color w:val="000000"/>
          <w:spacing w:val="0"/>
          <w:w w:val="100"/>
          <w:position w:val="0"/>
          <w:sz w:val="32"/>
          <w:szCs w:val="32"/>
          <w:highlight w:val="none"/>
        </w:rPr>
        <w:t>、时间安排</w:t>
      </w:r>
    </w:p>
    <w:p>
      <w:pPr>
        <w:pStyle w:val="15"/>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3" w:name="bookmark9"/>
      <w:r>
        <w:rPr>
          <w:rFonts w:hint="default" w:ascii="Times New Roman" w:hAnsi="Times New Roman" w:eastAsia="仿宋_GB2312" w:cs="Times New Roman"/>
          <w:color w:val="000000"/>
          <w:spacing w:val="0"/>
          <w:w w:val="100"/>
          <w:position w:val="0"/>
          <w:sz w:val="32"/>
          <w:szCs w:val="32"/>
          <w:highlight w:val="none"/>
        </w:rPr>
        <w:t>（一）公告时间：2022年</w:t>
      </w:r>
      <w:r>
        <w:rPr>
          <w:rFonts w:hint="eastAsia" w:ascii="Times New Roman" w:hAnsi="Times New Roman" w:eastAsia="仿宋_GB2312" w:cs="Times New Roman"/>
          <w:color w:val="000000"/>
          <w:spacing w:val="0"/>
          <w:w w:val="100"/>
          <w:position w:val="0"/>
          <w:sz w:val="32"/>
          <w:szCs w:val="32"/>
          <w:highlight w:val="none"/>
          <w:lang w:val="en-US" w:eastAsia="zh-CN"/>
        </w:rPr>
        <w:t>12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28</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17</w:t>
      </w:r>
      <w:r>
        <w:rPr>
          <w:rFonts w:hint="default" w:ascii="Times New Roman" w:hAnsi="Times New Roman" w:eastAsia="仿宋_GB2312" w:cs="Times New Roman"/>
          <w:color w:val="000000"/>
          <w:spacing w:val="0"/>
          <w:w w:val="100"/>
          <w:position w:val="0"/>
          <w:sz w:val="32"/>
          <w:szCs w:val="32"/>
          <w:highlight w:val="none"/>
        </w:rPr>
        <w:t>日。</w:t>
      </w:r>
    </w:p>
    <w:p>
      <w:pPr>
        <w:pStyle w:val="15"/>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17</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日10时。</w:t>
      </w:r>
    </w:p>
    <w:p>
      <w:pPr>
        <w:pStyle w:val="15"/>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w:t>
      </w:r>
      <w:bookmarkStart w:id="30" w:name="_GoBack"/>
      <w:bookmarkEnd w:id="30"/>
      <w:r>
        <w:rPr>
          <w:rFonts w:hint="default" w:ascii="Times New Roman" w:hAnsi="Times New Roman" w:eastAsia="仿宋_GB2312" w:cs="Times New Roman"/>
          <w:color w:val="000000"/>
          <w:spacing w:val="0"/>
          <w:w w:val="100"/>
          <w:position w:val="0"/>
          <w:sz w:val="32"/>
          <w:szCs w:val="32"/>
          <w:highlight w:val="none"/>
        </w:rPr>
        <w:t>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日9时。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四</w:t>
      </w:r>
      <w:bookmarkEnd w:id="3"/>
      <w:r>
        <w:rPr>
          <w:rFonts w:hint="default" w:ascii="黑体" w:hAnsi="黑体" w:eastAsia="黑体" w:cs="黑体"/>
          <w:color w:val="000000"/>
          <w:spacing w:val="0"/>
          <w:w w:val="100"/>
          <w:position w:val="0"/>
          <w:sz w:val="32"/>
          <w:szCs w:val="32"/>
        </w:rPr>
        <w:t>、竞买资格及要求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4" w:name="bookmark10"/>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877</w:t>
      </w:r>
      <w:r>
        <w:rPr>
          <w:rFonts w:hint="default" w:ascii="Times New Roman" w:hAnsi="Times New Roman" w:eastAsia="仿宋_GB2312" w:cs="Times New Roman"/>
          <w:color w:val="000000"/>
          <w:spacing w:val="0"/>
          <w:w w:val="100"/>
          <w:position w:val="0"/>
          <w:sz w:val="32"/>
          <w:szCs w:val="32"/>
        </w:rPr>
        <w:t>万元人民币；</w:t>
      </w:r>
    </w:p>
    <w:p>
      <w:pPr>
        <w:pStyle w:val="15"/>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color w:val="auto"/>
          <w:sz w:val="32"/>
          <w:szCs w:val="32"/>
        </w:rPr>
      </w:pPr>
      <w:bookmarkStart w:id="5" w:name="bookmark11"/>
      <w:r>
        <w:rPr>
          <w:rFonts w:hint="default" w:ascii="Times New Roman" w:hAnsi="Times New Roman" w:eastAsia="仿宋_GB2312" w:cs="Times New Roman"/>
          <w:color w:val="auto"/>
          <w:spacing w:val="0"/>
          <w:w w:val="100"/>
          <w:position w:val="0"/>
          <w:sz w:val="32"/>
          <w:szCs w:val="32"/>
        </w:rPr>
        <w:t>（</w:t>
      </w:r>
      <w:bookmarkEnd w:id="5"/>
      <w:r>
        <w:rPr>
          <w:rFonts w:hint="default" w:ascii="Times New Roman" w:hAnsi="Times New Roman" w:eastAsia="仿宋_GB2312" w:cs="Times New Roman"/>
          <w:color w:val="auto"/>
          <w:spacing w:val="0"/>
          <w:w w:val="100"/>
          <w:position w:val="0"/>
          <w:sz w:val="32"/>
          <w:szCs w:val="32"/>
        </w:rPr>
        <w:t>二）拖欠地价款、闲置土地、囤地炒地、有违法或不良信用记录的企业及其控股股东不得参与竞买。</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12"/>
      <w:r>
        <w:rPr>
          <w:rFonts w:hint="default" w:ascii="黑体" w:hAnsi="黑体" w:eastAsia="黑体" w:cs="黑体"/>
          <w:color w:val="000000"/>
          <w:spacing w:val="0"/>
          <w:w w:val="100"/>
          <w:position w:val="0"/>
          <w:sz w:val="32"/>
          <w:szCs w:val="32"/>
        </w:rPr>
        <w:t>五</w:t>
      </w:r>
      <w:bookmarkEnd w:id="6"/>
      <w:r>
        <w:rPr>
          <w:rFonts w:hint="default" w:ascii="黑体" w:hAnsi="黑体" w:eastAsia="黑体" w:cs="黑体"/>
          <w:color w:val="000000"/>
          <w:spacing w:val="0"/>
          <w:w w:val="100"/>
          <w:position w:val="0"/>
          <w:sz w:val="32"/>
          <w:szCs w:val="32"/>
        </w:rPr>
        <w:t>、需要说明的事项</w:t>
      </w:r>
    </w:p>
    <w:p>
      <w:pPr>
        <w:pStyle w:val="14"/>
        <w:spacing w:line="582" w:lineRule="exact"/>
        <w:ind w:firstLine="640" w:firstLineChars="200"/>
        <w:rPr>
          <w:rFonts w:hint="eastAsia" w:ascii="仿宋_GB2312" w:hAnsi="仿宋_GB2312" w:eastAsia="仿宋_GB2312" w:cs="仿宋_GB2312"/>
          <w:bCs/>
          <w:sz w:val="32"/>
          <w:szCs w:val="32"/>
        </w:rPr>
      </w:pPr>
      <w:bookmarkStart w:id="7" w:name="bookmark17"/>
      <w:r>
        <w:rPr>
          <w:rFonts w:hint="eastAsia" w:ascii="仿宋_GB2312" w:hAnsi="仿宋_GB2312" w:eastAsia="仿宋_GB2312" w:cs="仿宋_GB2312"/>
          <w:bCs/>
          <w:sz w:val="32"/>
          <w:szCs w:val="32"/>
        </w:rPr>
        <w:t>（一）</w:t>
      </w:r>
      <w:r>
        <w:rPr>
          <w:rFonts w:hint="eastAsia" w:ascii="仿宋_GB2312" w:hAnsi="仿宋_GB2312" w:eastAsia="仿宋_GB2312" w:cs="仿宋_GB2312"/>
          <w:bCs/>
          <w:sz w:val="32"/>
          <w:szCs w:val="32"/>
          <w:lang w:val="en-US" w:eastAsia="zh-CN"/>
        </w:rPr>
        <w:t>上述</w:t>
      </w:r>
      <w:r>
        <w:rPr>
          <w:rFonts w:hint="eastAsia" w:ascii="仿宋_GB2312" w:hAnsi="仿宋_GB2312" w:eastAsia="仿宋_GB2312" w:cs="仿宋_GB2312"/>
          <w:bCs/>
          <w:sz w:val="32"/>
          <w:szCs w:val="32"/>
        </w:rPr>
        <w:t>出让地块工业项目配套建设行政办公及生活服务设施的用地面积占用地总面积的比例可由7%提高至15%，建筑面积相应适当提高，提高部分全部用于建设宿舍型保障性租赁住房，严禁建设成套商品住宅。上述保障性租赁住房须严格按照相关政府认定流程，建设审批以及租赁管理规定，可享受相关优惠政策；</w:t>
      </w:r>
    </w:p>
    <w:p>
      <w:pPr>
        <w:pStyle w:val="14"/>
        <w:spacing w:line="582"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（二）竞得人除缴交成交地价款外，还需按规定缴交契税等有关税费；</w:t>
      </w:r>
    </w:p>
    <w:p>
      <w:pPr>
        <w:pStyle w:val="14"/>
        <w:spacing w:line="582"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（三）非</w:t>
      </w:r>
      <w:r>
        <w:rPr>
          <w:rFonts w:hint="eastAsia" w:ascii="仿宋_GB2312" w:hAnsi="仿宋_GB2312" w:eastAsia="仿宋_GB2312" w:cs="仿宋_GB2312"/>
          <w:bCs/>
          <w:sz w:val="32"/>
          <w:szCs w:val="32"/>
          <w:lang w:val="en-US" w:eastAsia="zh-CN"/>
        </w:rPr>
        <w:t>仲恺高新</w:t>
      </w:r>
      <w:r>
        <w:rPr>
          <w:rFonts w:hint="eastAsia" w:ascii="仿宋_GB2312" w:hAnsi="仿宋_GB2312" w:eastAsia="仿宋_GB2312" w:cs="仿宋_GB2312"/>
          <w:bCs/>
          <w:sz w:val="32"/>
          <w:szCs w:val="32"/>
        </w:rPr>
        <w:t>区注册登记的企业竞得土地使用权的，必须在竞得土地后2个月内在</w:t>
      </w:r>
      <w:r>
        <w:rPr>
          <w:rFonts w:hint="eastAsia" w:ascii="仿宋_GB2312" w:hAnsi="仿宋_GB2312" w:eastAsia="仿宋_GB2312" w:cs="仿宋_GB2312"/>
          <w:bCs/>
          <w:sz w:val="32"/>
          <w:szCs w:val="32"/>
          <w:lang w:eastAsia="zh-CN"/>
        </w:rPr>
        <w:t>仲恺高新</w:t>
      </w:r>
      <w:r>
        <w:rPr>
          <w:rFonts w:hint="eastAsia" w:ascii="仿宋_GB2312" w:hAnsi="仿宋_GB2312" w:eastAsia="仿宋_GB2312" w:cs="仿宋_GB2312"/>
          <w:bCs/>
          <w:sz w:val="32"/>
          <w:szCs w:val="32"/>
        </w:rPr>
        <w:t>区市场监督管理部门注册成立项目开发公司，并以该公司名义办理土地出让与登记发证手续；</w:t>
      </w:r>
    </w:p>
    <w:p>
      <w:pPr>
        <w:pStyle w:val="14"/>
        <w:spacing w:line="582" w:lineRule="exact"/>
        <w:rPr>
          <w:rFonts w:ascii="Times New Roman" w:hAnsi="Times New Roman" w:eastAsia="仿宋_GB2312"/>
          <w:bCs/>
          <w:sz w:val="32"/>
          <w:szCs w:val="32"/>
          <w:highlight w:val="yellow"/>
        </w:rPr>
      </w:pPr>
      <w:r>
        <w:rPr>
          <w:rFonts w:ascii="Times New Roman" w:hAnsi="Times New Roman" w:eastAsia="仿宋_GB2312"/>
          <w:b/>
          <w:sz w:val="32"/>
          <w:szCs w:val="32"/>
        </w:rPr>
        <w:t xml:space="preserve">   </w:t>
      </w:r>
      <w:r>
        <w:rPr>
          <w:rFonts w:ascii="Times New Roman" w:hAnsi="Times New Roman" w:eastAsia="仿宋_GB2312"/>
          <w:bCs/>
          <w:sz w:val="32"/>
          <w:szCs w:val="32"/>
        </w:rPr>
        <w:t>（</w:t>
      </w:r>
      <w:r>
        <w:rPr>
          <w:rFonts w:hint="eastAsia" w:ascii="Times New Roman" w:hAnsi="Times New Roman" w:eastAsia="仿宋_GB2312"/>
          <w:bCs/>
          <w:sz w:val="32"/>
          <w:szCs w:val="32"/>
        </w:rPr>
        <w:t>四</w:t>
      </w:r>
      <w:r>
        <w:rPr>
          <w:rFonts w:ascii="Times New Roman" w:hAnsi="Times New Roman" w:eastAsia="仿宋_GB2312"/>
          <w:bCs/>
          <w:sz w:val="32"/>
          <w:szCs w:val="32"/>
        </w:rPr>
        <w:t>）</w:t>
      </w:r>
      <w:r>
        <w:rPr>
          <w:rFonts w:hint="default" w:ascii="Times New Roman" w:hAnsi="Times New Roman" w:eastAsia="仿宋_GB2312" w:cs="Times New Roman"/>
          <w:b w:val="0"/>
          <w:bCs/>
          <w:i w:val="0"/>
          <w:caps w:val="0"/>
          <w:color w:val="000000"/>
          <w:spacing w:val="0"/>
          <w:w w:val="100"/>
          <w:sz w:val="32"/>
          <w:szCs w:val="32"/>
          <w:lang w:val="en-US" w:eastAsia="zh-CN"/>
        </w:rPr>
        <w:t>竞得人须在签订《国有建设用地使用权出让合同》（以下简称“《出让合同》”）时，提交惠州仲恺高新技术产业开发区科技创新局出具的与该宗地产业类型一致的优先发展产业项目文件，并同步与</w:t>
      </w:r>
      <w:r>
        <w:rPr>
          <w:rFonts w:ascii="Times New Roman" w:hAnsi="Times New Roman" w:eastAsia="仿宋_GB2312"/>
          <w:bCs/>
          <w:sz w:val="32"/>
          <w:szCs w:val="32"/>
        </w:rPr>
        <w:t>惠州仲恺高新技术产业开发区</w:t>
      </w:r>
      <w:r>
        <w:rPr>
          <w:rFonts w:hint="eastAsia" w:ascii="Times New Roman" w:hAnsi="Times New Roman" w:eastAsia="仿宋_GB2312"/>
          <w:sz w:val="32"/>
          <w:szCs w:val="32"/>
        </w:rPr>
        <w:t>经济发展局</w:t>
      </w:r>
      <w:r>
        <w:rPr>
          <w:rFonts w:hint="default" w:ascii="Times New Roman" w:hAnsi="Times New Roman" w:eastAsia="仿宋_GB2312" w:cs="Times New Roman"/>
          <w:b w:val="0"/>
          <w:bCs/>
          <w:i w:val="0"/>
          <w:caps w:val="0"/>
          <w:color w:val="000000"/>
          <w:spacing w:val="0"/>
          <w:w w:val="100"/>
          <w:sz w:val="32"/>
          <w:szCs w:val="32"/>
          <w:lang w:val="en-US" w:eastAsia="zh-CN"/>
        </w:rPr>
        <w:t>签订《</w:t>
      </w:r>
      <w:r>
        <w:rPr>
          <w:rFonts w:hint="default" w:ascii="Times New Roman" w:hAnsi="Times New Roman" w:eastAsia="仿宋_GB2312" w:cs="Times New Roman"/>
          <w:b w:val="0"/>
          <w:i w:val="0"/>
          <w:caps w:val="0"/>
          <w:spacing w:val="0"/>
          <w:w w:val="100"/>
          <w:sz w:val="32"/>
          <w:szCs w:val="32"/>
          <w:lang w:val="en-US" w:eastAsia="zh-CN"/>
        </w:rPr>
        <w:t>仲恺高新区产业项目投资建设协议书</w:t>
      </w:r>
      <w:r>
        <w:rPr>
          <w:rFonts w:hint="default" w:ascii="Times New Roman" w:hAnsi="Times New Roman" w:eastAsia="仿宋_GB2312" w:cs="Times New Roman"/>
          <w:b w:val="0"/>
          <w:bCs/>
          <w:i w:val="0"/>
          <w:caps w:val="0"/>
          <w:color w:val="000000"/>
          <w:spacing w:val="0"/>
          <w:w w:val="100"/>
          <w:sz w:val="32"/>
          <w:szCs w:val="32"/>
          <w:lang w:val="en-US" w:eastAsia="zh-CN"/>
        </w:rPr>
        <w:t>》</w:t>
      </w:r>
      <w:r>
        <w:rPr>
          <w:rFonts w:ascii="Times New Roman" w:hAnsi="Times New Roman" w:eastAsia="仿宋_GB2312"/>
          <w:bCs/>
          <w:sz w:val="32"/>
          <w:szCs w:val="32"/>
        </w:rPr>
        <w:t>；</w:t>
      </w:r>
    </w:p>
    <w:p>
      <w:pPr>
        <w:pStyle w:val="14"/>
        <w:spacing w:line="582" w:lineRule="exact"/>
        <w:rPr>
          <w:rFonts w:ascii="Times New Roman" w:hAnsi="Times New Roman" w:eastAsia="仿宋_GB2312"/>
          <w:bCs/>
          <w:sz w:val="32"/>
          <w:szCs w:val="32"/>
        </w:rPr>
      </w:pPr>
      <w:r>
        <w:rPr>
          <w:rFonts w:ascii="Times New Roman" w:hAnsi="Times New Roman" w:eastAsia="仿宋_GB2312"/>
          <w:b/>
          <w:sz w:val="32"/>
          <w:szCs w:val="32"/>
        </w:rPr>
        <w:t xml:space="preserve">   </w:t>
      </w:r>
      <w:r>
        <w:rPr>
          <w:rFonts w:ascii="Times New Roman" w:hAnsi="Times New Roman" w:eastAsia="仿宋_GB2312"/>
          <w:bCs/>
          <w:sz w:val="32"/>
          <w:szCs w:val="32"/>
        </w:rPr>
        <w:t>（</w:t>
      </w:r>
      <w:r>
        <w:rPr>
          <w:rFonts w:hint="eastAsia" w:ascii="Times New Roman" w:hAnsi="Times New Roman" w:eastAsia="仿宋_GB2312"/>
          <w:bCs/>
          <w:sz w:val="32"/>
          <w:szCs w:val="32"/>
        </w:rPr>
        <w:t>五</w:t>
      </w:r>
      <w:r>
        <w:rPr>
          <w:rFonts w:ascii="Times New Roman" w:hAnsi="Times New Roman" w:eastAsia="仿宋_GB2312"/>
          <w:bCs/>
          <w:sz w:val="32"/>
          <w:szCs w:val="32"/>
        </w:rPr>
        <w:t>）项目未达到本</w:t>
      </w:r>
      <w:r>
        <w:rPr>
          <w:rFonts w:hint="eastAsia" w:eastAsia="仿宋_GB2312"/>
          <w:bCs/>
          <w:sz w:val="32"/>
          <w:szCs w:val="32"/>
          <w:lang w:val="en-US" w:eastAsia="zh-CN"/>
        </w:rPr>
        <w:t>公告</w:t>
      </w:r>
      <w:r>
        <w:rPr>
          <w:rFonts w:ascii="Times New Roman" w:hAnsi="Times New Roman" w:eastAsia="仿宋_GB2312"/>
          <w:bCs/>
          <w:sz w:val="32"/>
          <w:szCs w:val="32"/>
        </w:rPr>
        <w:t>规定的集约用地指标或者非优先发展产业的，用地单位必须按《出让合同》及</w:t>
      </w:r>
      <w:r>
        <w:rPr>
          <w:rFonts w:ascii="Times New Roman" w:hAnsi="Times New Roman" w:eastAsia="仿宋_GB2312"/>
          <w:kern w:val="2"/>
          <w:sz w:val="32"/>
          <w:szCs w:val="32"/>
        </w:rPr>
        <w:t>《仲恺高新区产业项目投资建设协议书》</w:t>
      </w:r>
      <w:r>
        <w:rPr>
          <w:rFonts w:ascii="Times New Roman" w:hAnsi="Times New Roman" w:eastAsia="仿宋_GB2312"/>
          <w:bCs/>
          <w:sz w:val="32"/>
          <w:szCs w:val="32"/>
        </w:rPr>
        <w:t>的约定补缴土地出让金及缴交违约金,补缴土地出让金由</w:t>
      </w:r>
      <w:r>
        <w:rPr>
          <w:rFonts w:ascii="Times New Roman" w:hAnsi="Times New Roman" w:eastAsia="仿宋_GB2312"/>
          <w:sz w:val="32"/>
          <w:szCs w:val="32"/>
        </w:rPr>
        <w:t>仲恺高新区国土资源分局</w:t>
      </w:r>
      <w:r>
        <w:rPr>
          <w:rFonts w:ascii="Times New Roman" w:hAnsi="Times New Roman" w:eastAsia="仿宋_GB2312"/>
          <w:bCs/>
          <w:sz w:val="32"/>
          <w:szCs w:val="32"/>
        </w:rPr>
        <w:t>委托评估机构进行评估确定，估价期日应以国土资源主管部门依法受理补缴地价申请时点为准</w:t>
      </w:r>
      <w:r>
        <w:rPr>
          <w:rFonts w:hint="eastAsia" w:ascii="Times New Roman" w:hAnsi="Times New Roman" w:eastAsia="仿宋_GB2312"/>
          <w:kern w:val="2"/>
          <w:sz w:val="32"/>
          <w:szCs w:val="32"/>
        </w:rPr>
        <w:t>；由</w:t>
      </w:r>
      <w:r>
        <w:rPr>
          <w:rFonts w:ascii="Times New Roman" w:hAnsi="Times New Roman" w:eastAsia="仿宋_GB2312"/>
          <w:bCs/>
          <w:sz w:val="32"/>
          <w:szCs w:val="32"/>
        </w:rPr>
        <w:t>惠州仲恺高新技术产业开发区</w:t>
      </w:r>
      <w:r>
        <w:rPr>
          <w:rFonts w:hint="eastAsia" w:ascii="Times New Roman" w:hAnsi="Times New Roman" w:eastAsia="仿宋_GB2312"/>
          <w:sz w:val="32"/>
          <w:szCs w:val="32"/>
        </w:rPr>
        <w:t>经济发展局</w:t>
      </w:r>
      <w:r>
        <w:rPr>
          <w:rFonts w:hint="eastAsia" w:ascii="Times New Roman" w:hAnsi="Times New Roman" w:eastAsia="仿宋_GB2312"/>
          <w:kern w:val="2"/>
          <w:sz w:val="32"/>
          <w:szCs w:val="32"/>
        </w:rPr>
        <w:t>负责对竞得人履行</w:t>
      </w:r>
      <w:r>
        <w:rPr>
          <w:rFonts w:ascii="Times New Roman" w:hAnsi="Times New Roman" w:eastAsia="仿宋_GB2312"/>
          <w:kern w:val="2"/>
          <w:sz w:val="32"/>
          <w:szCs w:val="32"/>
        </w:rPr>
        <w:t>《</w:t>
      </w:r>
      <w:r>
        <w:rPr>
          <w:rFonts w:ascii="Times New Roman" w:hAnsi="Times New Roman" w:eastAsia="仿宋_GB2312"/>
          <w:bCs/>
          <w:sz w:val="32"/>
          <w:szCs w:val="32"/>
        </w:rPr>
        <w:t>仲恺高新区产业项目投资建设协议书</w:t>
      </w:r>
      <w:r>
        <w:rPr>
          <w:rFonts w:ascii="Times New Roman" w:hAnsi="Times New Roman" w:eastAsia="仿宋_GB2312"/>
          <w:kern w:val="2"/>
          <w:sz w:val="32"/>
          <w:szCs w:val="32"/>
        </w:rPr>
        <w:t>》</w:t>
      </w:r>
      <w:r>
        <w:rPr>
          <w:rFonts w:hint="eastAsia" w:ascii="Times New Roman" w:hAnsi="Times New Roman" w:eastAsia="仿宋_GB2312"/>
          <w:kern w:val="2"/>
          <w:sz w:val="32"/>
          <w:szCs w:val="32"/>
        </w:rPr>
        <w:t>的后续监管职责</w:t>
      </w:r>
      <w:r>
        <w:rPr>
          <w:rFonts w:ascii="Times New Roman" w:hAnsi="Times New Roman" w:eastAsia="仿宋_GB2312"/>
          <w:kern w:val="2"/>
          <w:sz w:val="32"/>
          <w:szCs w:val="32"/>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六</w:t>
      </w:r>
      <w:bookmarkEnd w:id="7"/>
      <w:r>
        <w:rPr>
          <w:rFonts w:hint="default" w:ascii="黑体" w:hAnsi="黑体" w:eastAsia="黑体" w:cs="黑体"/>
          <w:color w:val="000000"/>
          <w:spacing w:val="0"/>
          <w:w w:val="100"/>
          <w:position w:val="0"/>
          <w:sz w:val="32"/>
          <w:szCs w:val="32"/>
        </w:rPr>
        <w:t>、竞买保证金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8" w:name="bookmark18"/>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877</w:t>
      </w:r>
      <w:r>
        <w:rPr>
          <w:rFonts w:hint="default" w:ascii="Times New Roman" w:hAnsi="Times New Roman" w:eastAsia="仿宋_GB2312" w:cs="Times New Roman"/>
          <w:color w:val="000000"/>
          <w:spacing w:val="0"/>
          <w:w w:val="100"/>
          <w:position w:val="0"/>
          <w:sz w:val="32"/>
          <w:szCs w:val="32"/>
        </w:rPr>
        <w:t>万元。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9" w:name="bookmark19"/>
      <w:r>
        <w:rPr>
          <w:rFonts w:hint="default" w:ascii="Times New Roman" w:hAnsi="Times New Roman" w:eastAsia="仿宋_GB2312" w:cs="Times New Roman"/>
          <w:color w:val="000000"/>
          <w:spacing w:val="0"/>
          <w:w w:val="100"/>
          <w:position w:val="0"/>
          <w:sz w:val="32"/>
          <w:szCs w:val="32"/>
        </w:rPr>
        <w:t>（</w:t>
      </w:r>
      <w:bookmarkEnd w:id="9"/>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0" w:name="bookmark20"/>
      <w:r>
        <w:rPr>
          <w:rFonts w:hint="default" w:ascii="Times New Roman" w:hAnsi="Times New Roman" w:eastAsia="仿宋_GB2312" w:cs="Times New Roman"/>
          <w:color w:val="000000"/>
          <w:spacing w:val="0"/>
          <w:w w:val="100"/>
          <w:position w:val="0"/>
          <w:sz w:val="32"/>
          <w:szCs w:val="32"/>
        </w:rPr>
        <w:t>（</w:t>
      </w:r>
      <w:bookmarkEnd w:id="10"/>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1" w:name="bookmark21"/>
      <w:r>
        <w:rPr>
          <w:rFonts w:hint="default" w:ascii="黑体" w:hAnsi="黑体" w:eastAsia="黑体" w:cs="黑体"/>
          <w:color w:val="000000"/>
          <w:spacing w:val="0"/>
          <w:w w:val="100"/>
          <w:position w:val="0"/>
          <w:sz w:val="32"/>
          <w:szCs w:val="32"/>
        </w:rPr>
        <w:t>七</w:t>
      </w:r>
      <w:bookmarkEnd w:id="11"/>
      <w:r>
        <w:rPr>
          <w:rFonts w:hint="default" w:ascii="黑体" w:hAnsi="黑体" w:eastAsia="黑体" w:cs="黑体"/>
          <w:color w:val="000000"/>
          <w:spacing w:val="0"/>
          <w:w w:val="100"/>
          <w:position w:val="0"/>
          <w:sz w:val="32"/>
          <w:szCs w:val="32"/>
        </w:rPr>
        <w:t>、竞买申请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2" w:name="bookmark22"/>
      <w:r>
        <w:rPr>
          <w:rFonts w:hint="default" w:ascii="黑体" w:hAnsi="黑体" w:eastAsia="黑体" w:cs="黑体"/>
          <w:color w:val="000000"/>
          <w:spacing w:val="0"/>
          <w:w w:val="100"/>
          <w:position w:val="0"/>
          <w:sz w:val="32"/>
          <w:szCs w:val="32"/>
        </w:rPr>
        <w:t>八</w:t>
      </w:r>
      <w:bookmarkEnd w:id="12"/>
      <w:r>
        <w:rPr>
          <w:rFonts w:hint="default" w:ascii="黑体" w:hAnsi="黑体" w:eastAsia="黑体" w:cs="黑体"/>
          <w:color w:val="000000"/>
          <w:spacing w:val="0"/>
          <w:w w:val="100"/>
          <w:position w:val="0"/>
          <w:sz w:val="32"/>
          <w:szCs w:val="32"/>
        </w:rPr>
        <w:t>、竞买人电子报价及电子限时竞价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3" w:name="bookmark23"/>
      <w:r>
        <w:rPr>
          <w:rFonts w:hint="default" w:ascii="黑体" w:hAnsi="黑体" w:eastAsia="黑体" w:cs="黑体"/>
          <w:color w:val="000000"/>
          <w:spacing w:val="0"/>
          <w:w w:val="100"/>
          <w:position w:val="0"/>
          <w:sz w:val="32"/>
          <w:szCs w:val="32"/>
        </w:rPr>
        <w:t>九</w:t>
      </w:r>
      <w:bookmarkEnd w:id="13"/>
      <w:r>
        <w:rPr>
          <w:rFonts w:hint="default" w:ascii="黑体" w:hAnsi="黑体" w:eastAsia="黑体" w:cs="黑体"/>
          <w:color w:val="000000"/>
          <w:spacing w:val="0"/>
          <w:w w:val="100"/>
          <w:position w:val="0"/>
          <w:sz w:val="32"/>
          <w:szCs w:val="32"/>
        </w:rPr>
        <w:t>、确定成交候选人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w:t>
      </w:r>
      <w:r>
        <w:rPr>
          <w:rFonts w:hint="default" w:ascii="Times New Roman" w:hAnsi="Times New Roman" w:eastAsia="仿宋_GB2312" w:cs="Times New Roman"/>
          <w:color w:val="000000"/>
          <w:spacing w:val="0"/>
          <w:w w:val="100"/>
          <w:position w:val="0"/>
          <w:sz w:val="32"/>
          <w:szCs w:val="32"/>
          <w:highlight w:val="none"/>
        </w:rPr>
        <w:t>局将于202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10</w:t>
      </w:r>
      <w:r>
        <w:rPr>
          <w:rFonts w:hint="default" w:ascii="Times New Roman" w:hAnsi="Times New Roman" w:eastAsia="仿宋_GB2312" w:cs="Times New Roman"/>
          <w:color w:val="000000"/>
          <w:spacing w:val="0"/>
          <w:w w:val="100"/>
          <w:position w:val="0"/>
          <w:sz w:val="32"/>
          <w:szCs w:val="32"/>
          <w:highlight w:val="none"/>
        </w:rPr>
        <w:t>日前确定符</w:t>
      </w:r>
      <w:r>
        <w:rPr>
          <w:rFonts w:hint="default" w:ascii="Times New Roman" w:hAnsi="Times New Roman" w:eastAsia="仿宋_GB2312" w:cs="Times New Roman"/>
          <w:color w:val="000000"/>
          <w:spacing w:val="0"/>
          <w:w w:val="100"/>
          <w:position w:val="0"/>
          <w:sz w:val="32"/>
          <w:szCs w:val="32"/>
        </w:rPr>
        <w:t>合竞买资格的成交候选人为竞得人。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4" w:name="bookmark24"/>
      <w:r>
        <w:rPr>
          <w:rFonts w:hint="default" w:ascii="Times New Roman" w:hAnsi="Times New Roman" w:eastAsia="仿宋_GB2312" w:cs="Times New Roman"/>
          <w:color w:val="000000"/>
          <w:spacing w:val="0"/>
          <w:w w:val="100"/>
          <w:position w:val="0"/>
          <w:sz w:val="32"/>
          <w:szCs w:val="32"/>
        </w:rPr>
        <w:t>（</w:t>
      </w:r>
      <w:bookmarkEnd w:id="14"/>
      <w:r>
        <w:rPr>
          <w:rFonts w:hint="default" w:ascii="Times New Roman" w:hAnsi="Times New Roman" w:eastAsia="仿宋_GB2312" w:cs="Times New Roman"/>
          <w:color w:val="000000"/>
          <w:spacing w:val="0"/>
          <w:w w:val="100"/>
          <w:position w:val="0"/>
          <w:sz w:val="32"/>
          <w:szCs w:val="32"/>
        </w:rPr>
        <w:t>一）《竞买申请书》（加盖公章）；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25"/>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二）《竞价结果通知书》（加盖公章）；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26"/>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7"/>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8"/>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9"/>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30"/>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九</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rPr>
        <w:t>保证金承诺书</w:t>
      </w:r>
      <w:r>
        <w:rPr>
          <w:rFonts w:hint="default" w:ascii="Times New Roman" w:hAnsi="Times New Roman" w:eastAsia="仿宋_GB2312" w:cs="Times New Roman"/>
          <w:color w:val="000000"/>
          <w:spacing w:val="0"/>
          <w:w w:val="100"/>
          <w:position w:val="0"/>
          <w:sz w:val="32"/>
          <w:szCs w:val="32"/>
          <w:highlight w:val="none"/>
        </w:rPr>
        <w:t>（加盖公章）</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31"/>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一）不符合竞买资格条件的；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32"/>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33"/>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4" w:name="bookmark34"/>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5"/>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6"/>
      <w:r>
        <w:rPr>
          <w:rFonts w:hint="default" w:ascii="Times New Roman" w:hAnsi="Times New Roman" w:eastAsia="仿宋_GB2312" w:cs="Times New Roman"/>
          <w:color w:val="000000"/>
          <w:spacing w:val="0"/>
          <w:w w:val="100"/>
          <w:position w:val="0"/>
          <w:sz w:val="32"/>
          <w:szCs w:val="32"/>
          <w:lang w:val="zh-CN" w:eastAsia="zh-CN"/>
        </w:rPr>
        <w:t>（</w:t>
      </w:r>
      <w:bookmarkEnd w:id="26"/>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7"/>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8"/>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9"/>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欧阳先生</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01</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房曦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28</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7"/>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4"/>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435"/>
        <w:gridCol w:w="721"/>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43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2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w:t>
            </w:r>
            <w:r>
              <w:rPr>
                <w:rFonts w:hint="eastAsia" w:cs="Times New Roman"/>
                <w:b w:val="0"/>
                <w:bCs w:val="0"/>
                <w:color w:val="auto"/>
                <w:sz w:val="18"/>
                <w:szCs w:val="18"/>
                <w:highlight w:val="none"/>
                <w:vertAlign w:val="baseline"/>
                <w:lang w:val="en-US" w:eastAsia="zh-CN"/>
              </w:rPr>
              <w:t>32</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w:t>
            </w:r>
            <w:r>
              <w:rPr>
                <w:rFonts w:hint="default" w:ascii="Times New Roman" w:hAnsi="Times New Roman" w:cs="Times New Roman"/>
                <w:b w:val="0"/>
                <w:bCs w:val="0"/>
                <w:color w:val="auto"/>
                <w:sz w:val="18"/>
                <w:szCs w:val="18"/>
                <w:highlight w:val="none"/>
                <w:vertAlign w:val="baseline"/>
                <w:lang w:val="en-US" w:eastAsia="zh-CN"/>
              </w:rPr>
              <w:t>仲恺高新区</w:t>
            </w:r>
            <w:r>
              <w:rPr>
                <w:rFonts w:hint="eastAsia" w:cs="Times New Roman"/>
                <w:b w:val="0"/>
                <w:bCs w:val="0"/>
                <w:color w:val="auto"/>
                <w:sz w:val="18"/>
                <w:szCs w:val="18"/>
                <w:highlight w:val="none"/>
                <w:vertAlign w:val="baseline"/>
                <w:lang w:val="en-US" w:eastAsia="zh-CN"/>
              </w:rPr>
              <w:t>潼湖生态智慧区梧村河东片区</w:t>
            </w:r>
          </w:p>
        </w:tc>
        <w:tc>
          <w:tcPr>
            <w:tcW w:w="5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ZK</w:t>
            </w:r>
            <w:r>
              <w:rPr>
                <w:rFonts w:hint="eastAsia" w:cs="Times New Roman"/>
                <w:color w:val="auto"/>
                <w:kern w:val="2"/>
                <w:sz w:val="18"/>
                <w:szCs w:val="18"/>
                <w:highlight w:val="none"/>
                <w:lang w:val="en-US" w:eastAsia="zh-CN" w:bidi="ar-SA"/>
              </w:rPr>
              <w:t>C</w:t>
            </w:r>
            <w:r>
              <w:rPr>
                <w:rFonts w:hint="default" w:ascii="Times New Roman" w:hAnsi="Times New Roman" w:eastAsia="宋体" w:cs="Times New Roman"/>
                <w:color w:val="auto"/>
                <w:kern w:val="2"/>
                <w:sz w:val="18"/>
                <w:szCs w:val="18"/>
                <w:highlight w:val="none"/>
                <w:lang w:val="en-US" w:eastAsia="zh-CN" w:bidi="ar-SA"/>
              </w:rPr>
              <w:t>-0</w:t>
            </w:r>
            <w:r>
              <w:rPr>
                <w:rFonts w:hint="eastAsia" w:cs="Times New Roman"/>
                <w:color w:val="auto"/>
                <w:kern w:val="2"/>
                <w:sz w:val="18"/>
                <w:szCs w:val="18"/>
                <w:highlight w:val="none"/>
                <w:lang w:val="en-US" w:eastAsia="zh-CN" w:bidi="ar-SA"/>
              </w:rPr>
              <w:t>64</w:t>
            </w:r>
            <w:r>
              <w:rPr>
                <w:rFonts w:hint="default" w:ascii="Times New Roman" w:hAnsi="Times New Roman" w:eastAsia="宋体" w:cs="Times New Roman"/>
                <w:color w:val="auto"/>
                <w:kern w:val="2"/>
                <w:sz w:val="18"/>
                <w:szCs w:val="18"/>
                <w:highlight w:val="none"/>
                <w:lang w:val="en-US" w:eastAsia="zh-CN" w:bidi="ar-SA"/>
              </w:rPr>
              <w:t>-03</w:t>
            </w:r>
          </w:p>
        </w:tc>
        <w:tc>
          <w:tcPr>
            <w:tcW w:w="77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62330</w:t>
            </w:r>
            <w:r>
              <w:rPr>
                <w:rFonts w:hint="default" w:ascii="Times New Roman" w:hAnsi="Times New Roman" w:eastAsia="宋体" w:cs="Times New Roman"/>
                <w:color w:val="auto"/>
                <w:sz w:val="18"/>
                <w:szCs w:val="18"/>
                <w:highlight w:val="none"/>
                <w:lang w:val="en-US" w:eastAsia="zh-CN"/>
              </w:rPr>
              <w:t>（其中使用权面积为</w:t>
            </w:r>
            <w:r>
              <w:rPr>
                <w:rFonts w:hint="eastAsia" w:cs="Times New Roman"/>
                <w:color w:val="auto"/>
                <w:sz w:val="18"/>
                <w:szCs w:val="18"/>
                <w:highlight w:val="none"/>
                <w:lang w:val="en-US" w:eastAsia="zh-CN"/>
              </w:rPr>
              <w:t>46874</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62330</w:t>
            </w:r>
          </w:p>
        </w:tc>
        <w:tc>
          <w:tcPr>
            <w:tcW w:w="77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w:t>
            </w:r>
            <w:r>
              <w:rPr>
                <w:rFonts w:hint="default" w:ascii="Times New Roman" w:hAnsi="Times New Roman" w:eastAsia="宋体" w:cs="Times New Roman"/>
                <w:color w:val="auto"/>
                <w:sz w:val="18"/>
                <w:szCs w:val="18"/>
                <w:highlight w:val="none"/>
                <w:lang w:val="en-US" w:eastAsia="zh-CN"/>
              </w:rPr>
              <w:t>≤R≤</w:t>
            </w:r>
            <w:r>
              <w:rPr>
                <w:rFonts w:hint="eastAsia" w:cs="Times New Roman"/>
                <w:color w:val="auto"/>
                <w:sz w:val="18"/>
                <w:szCs w:val="18"/>
                <w:highlight w:val="none"/>
                <w:lang w:val="en-US" w:eastAsia="zh-CN"/>
              </w:rPr>
              <w:t>3.0</w:t>
            </w:r>
          </w:p>
        </w:tc>
        <w:tc>
          <w:tcPr>
            <w:tcW w:w="77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155825</w:t>
            </w:r>
            <w:r>
              <w:rPr>
                <w:rFonts w:hint="default" w:ascii="Times New Roman" w:hAnsi="Times New Roman" w:eastAsia="宋体" w:cs="Times New Roman"/>
                <w:color w:val="auto"/>
                <w:sz w:val="18"/>
                <w:szCs w:val="18"/>
                <w:highlight w:val="none"/>
                <w:lang w:val="en-US" w:eastAsia="zh-CN"/>
              </w:rPr>
              <w:t>≤S≤</w:t>
            </w:r>
            <w:r>
              <w:rPr>
                <w:rFonts w:hint="eastAsia" w:cs="Times New Roman"/>
                <w:color w:val="auto"/>
                <w:sz w:val="18"/>
                <w:szCs w:val="18"/>
                <w:highlight w:val="none"/>
                <w:lang w:val="en-US" w:eastAsia="zh-CN"/>
              </w:rPr>
              <w:t>186990</w:t>
            </w:r>
          </w:p>
        </w:tc>
        <w:tc>
          <w:tcPr>
            <w:tcW w:w="68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1435"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b w:val="0"/>
                <w:bCs w:val="0"/>
                <w:color w:val="auto"/>
                <w:sz w:val="18"/>
                <w:szCs w:val="18"/>
                <w:highlight w:val="none"/>
                <w:vertAlign w:val="baseline"/>
                <w:lang w:val="en-US" w:eastAsia="zh-CN"/>
              </w:rPr>
              <w:t>厂房按每</w:t>
            </w:r>
            <w:r>
              <w:rPr>
                <w:rFonts w:hint="eastAsia" w:ascii="Times New Roman" w:hAnsi="Times New Roman" w:cs="Times New Roman"/>
                <w:b w:val="0"/>
                <w:bCs w:val="0"/>
                <w:color w:val="auto"/>
                <w:sz w:val="18"/>
                <w:szCs w:val="18"/>
                <w:highlight w:val="none"/>
                <w:vertAlign w:val="baseline"/>
                <w:lang w:val="en-US" w:eastAsia="zh-CN"/>
              </w:rPr>
              <w:t>100平</w:t>
            </w:r>
            <w:r>
              <w:rPr>
                <w:rFonts w:hint="default" w:ascii="Times New Roman" w:hAnsi="Times New Roman" w:cs="Times New Roman"/>
                <w:b w:val="0"/>
                <w:bCs w:val="0"/>
                <w:color w:val="auto"/>
                <w:sz w:val="18"/>
                <w:szCs w:val="18"/>
                <w:highlight w:val="none"/>
                <w:vertAlign w:val="baseline"/>
                <w:lang w:val="en-US" w:eastAsia="zh-CN"/>
              </w:rPr>
              <w:t>方米计容积率建筑面积</w:t>
            </w:r>
            <w:r>
              <w:rPr>
                <w:rFonts w:hint="eastAsia" w:ascii="Times New Roman" w:hAnsi="Times New Roman" w:cs="Times New Roman"/>
                <w:b w:val="0"/>
                <w:bCs w:val="0"/>
                <w:color w:val="auto"/>
                <w:sz w:val="18"/>
                <w:szCs w:val="18"/>
                <w:highlight w:val="none"/>
                <w:vertAlign w:val="baseline"/>
                <w:lang w:val="en-US" w:eastAsia="zh-CN"/>
              </w:rPr>
              <w:t>≥0.3</w:t>
            </w:r>
            <w:r>
              <w:rPr>
                <w:rFonts w:hint="default" w:ascii="Times New Roman" w:hAnsi="Times New Roman" w:cs="Times New Roman"/>
                <w:b w:val="0"/>
                <w:bCs w:val="0"/>
                <w:color w:val="auto"/>
                <w:sz w:val="18"/>
                <w:szCs w:val="18"/>
                <w:highlight w:val="none"/>
                <w:vertAlign w:val="baseline"/>
                <w:lang w:val="en-US" w:eastAsia="zh-CN"/>
              </w:rPr>
              <w:t>个，行政办公及生活服务设施按每</w:t>
            </w:r>
            <w:r>
              <w:rPr>
                <w:rFonts w:hint="eastAsia" w:ascii="Times New Roman" w:hAnsi="Times New Roman" w:cs="Times New Roman"/>
                <w:b w:val="0"/>
                <w:bCs w:val="0"/>
                <w:color w:val="auto"/>
                <w:sz w:val="18"/>
                <w:szCs w:val="18"/>
                <w:highlight w:val="none"/>
                <w:vertAlign w:val="baseline"/>
                <w:lang w:val="en-US" w:eastAsia="zh-CN"/>
              </w:rPr>
              <w:t>100</w:t>
            </w:r>
            <w:r>
              <w:rPr>
                <w:rFonts w:hint="default" w:ascii="Times New Roman" w:hAnsi="Times New Roman" w:cs="Times New Roman"/>
                <w:b w:val="0"/>
                <w:bCs w:val="0"/>
                <w:color w:val="auto"/>
                <w:sz w:val="18"/>
                <w:szCs w:val="18"/>
                <w:highlight w:val="none"/>
                <w:vertAlign w:val="baseline"/>
                <w:lang w:val="en-US" w:eastAsia="zh-CN"/>
              </w:rPr>
              <w:t>平方米计容积率建筑面积</w:t>
            </w:r>
            <w:r>
              <w:rPr>
                <w:rFonts w:hint="eastAsia" w:ascii="Times New Roman" w:hAnsi="Times New Roman" w:cs="Times New Roman"/>
                <w:b w:val="0"/>
                <w:bCs w:val="0"/>
                <w:color w:val="auto"/>
                <w:sz w:val="18"/>
                <w:szCs w:val="18"/>
                <w:highlight w:val="none"/>
                <w:vertAlign w:val="baseline"/>
                <w:lang w:val="en-US" w:eastAsia="zh-CN"/>
              </w:rPr>
              <w:t>≥1.0</w:t>
            </w:r>
            <w:r>
              <w:rPr>
                <w:rFonts w:hint="default" w:ascii="Times New Roman" w:hAnsi="Times New Roman" w:cs="Times New Roman"/>
                <w:b w:val="0"/>
                <w:bCs w:val="0"/>
                <w:color w:val="auto"/>
                <w:sz w:val="18"/>
                <w:szCs w:val="18"/>
                <w:highlight w:val="none"/>
                <w:vertAlign w:val="baseline"/>
                <w:lang w:val="en-US" w:eastAsia="zh-CN"/>
              </w:rPr>
              <w:t>个，配建停车位应按要求建设充电基础设施或预留建设安装条件</w:t>
            </w:r>
          </w:p>
        </w:tc>
        <w:tc>
          <w:tcPr>
            <w:tcW w:w="72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lang w:val="en-US" w:eastAsia="zh-CN"/>
              </w:rPr>
              <w:t>行政办公及生活服务设施用地面积不得超过总用地面积的</w:t>
            </w:r>
            <w:r>
              <w:rPr>
                <w:rFonts w:hint="eastAsia" w:cs="Times New Roman"/>
                <w:color w:val="auto"/>
                <w:sz w:val="18"/>
                <w:szCs w:val="18"/>
                <w:highlight w:val="none"/>
                <w:lang w:val="en-US" w:eastAsia="zh-CN"/>
              </w:rPr>
              <w:t>15</w:t>
            </w:r>
            <w:r>
              <w:rPr>
                <w:rFonts w:hint="default" w:ascii="Times New Roman" w:hAnsi="Times New Roman" w:eastAsia="宋体" w:cs="Times New Roman"/>
                <w:color w:val="auto"/>
                <w:sz w:val="18"/>
                <w:szCs w:val="18"/>
                <w:highlight w:val="none"/>
                <w:lang w:val="en-US" w:eastAsia="zh-CN"/>
              </w:rPr>
              <w:t>%</w:t>
            </w:r>
          </w:p>
        </w:tc>
        <w:tc>
          <w:tcPr>
            <w:tcW w:w="804"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85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4382</w:t>
            </w:r>
          </w:p>
        </w:tc>
        <w:tc>
          <w:tcPr>
            <w:tcW w:w="887"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50</w:t>
            </w:r>
          </w:p>
        </w:tc>
        <w:tc>
          <w:tcPr>
            <w:tcW w:w="861"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kern w:val="2"/>
                <w:sz w:val="18"/>
                <w:szCs w:val="18"/>
                <w:highlight w:val="none"/>
                <w:vertAlign w:val="baseline"/>
                <w:lang w:val="en-US" w:eastAsia="zh-CN" w:bidi="ar-SA"/>
              </w:rPr>
              <w:t>877</w:t>
            </w:r>
          </w:p>
        </w:tc>
        <w:tc>
          <w:tcPr>
            <w:tcW w:w="730"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w:t>
            </w:r>
            <w:r>
              <w:rPr>
                <w:rFonts w:hint="eastAsia"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cs="Times New Roman"/>
                <w:b w:val="0"/>
                <w:bCs w:val="0"/>
                <w:color w:val="auto"/>
                <w:sz w:val="18"/>
                <w:szCs w:val="18"/>
                <w:highlight w:val="none"/>
                <w:vertAlign w:val="baseline"/>
                <w:lang w:val="en-US" w:eastAsia="zh-CN"/>
              </w:rPr>
              <w:t>11447万</w:t>
            </w:r>
            <w:r>
              <w:rPr>
                <w:rFonts w:hint="default" w:ascii="Times New Roman" w:hAnsi="Times New Roman" w:eastAsia="宋体" w:cs="Times New Roman"/>
                <w:b w:val="0"/>
                <w:bCs w:val="0"/>
                <w:color w:val="auto"/>
                <w:sz w:val="18"/>
                <w:szCs w:val="18"/>
                <w:highlight w:val="none"/>
                <w:vertAlign w:val="baseline"/>
                <w:lang w:val="en-US" w:eastAsia="zh-CN"/>
              </w:rPr>
              <w:t>元/</w:t>
            </w:r>
            <w:r>
              <w:rPr>
                <w:rFonts w:hint="eastAsia" w:cs="Times New Roman"/>
                <w:b w:val="0"/>
                <w:bCs w:val="0"/>
                <w:color w:val="auto"/>
                <w:sz w:val="18"/>
                <w:szCs w:val="18"/>
                <w:highlight w:val="none"/>
                <w:vertAlign w:val="baseline"/>
                <w:lang w:val="en-US" w:eastAsia="zh-CN"/>
              </w:rPr>
              <w:t>公顷</w:t>
            </w:r>
          </w:p>
        </w:tc>
        <w:tc>
          <w:tcPr>
            <w:tcW w:w="1019" w:type="dxa"/>
            <w:noWrap w:val="0"/>
            <w:vAlign w:val="center"/>
          </w:tcPr>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ascii="Times New Roman" w:hAnsi="Times New Roman" w:cs="Times New Roman"/>
                <w:b w:val="0"/>
                <w:bCs w:val="0"/>
                <w:color w:val="auto"/>
                <w:sz w:val="18"/>
                <w:szCs w:val="18"/>
                <w:highlight w:val="none"/>
                <w:vertAlign w:val="baseline"/>
                <w:lang w:val="en-US" w:eastAsia="zh-CN"/>
              </w:rPr>
              <w:t>数字电视系统设备、数字电视接收设备</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71FB1ABE"/>
    <w:rsid w:val="045105B6"/>
    <w:rsid w:val="04877EA0"/>
    <w:rsid w:val="058A138B"/>
    <w:rsid w:val="08055CAB"/>
    <w:rsid w:val="0848533A"/>
    <w:rsid w:val="08E31C94"/>
    <w:rsid w:val="0AB23C4B"/>
    <w:rsid w:val="0AE55920"/>
    <w:rsid w:val="0BE235BB"/>
    <w:rsid w:val="0F4672D5"/>
    <w:rsid w:val="114029D1"/>
    <w:rsid w:val="16B0051C"/>
    <w:rsid w:val="189D5A8C"/>
    <w:rsid w:val="1A1A0363"/>
    <w:rsid w:val="220B2CE7"/>
    <w:rsid w:val="23035E38"/>
    <w:rsid w:val="23AD4CDF"/>
    <w:rsid w:val="23B168DA"/>
    <w:rsid w:val="242D2BA8"/>
    <w:rsid w:val="28B10AB2"/>
    <w:rsid w:val="2A443772"/>
    <w:rsid w:val="2C656693"/>
    <w:rsid w:val="2DBF648A"/>
    <w:rsid w:val="2E9B217D"/>
    <w:rsid w:val="31962890"/>
    <w:rsid w:val="34CA2366"/>
    <w:rsid w:val="383E1D77"/>
    <w:rsid w:val="38743CBC"/>
    <w:rsid w:val="39875E43"/>
    <w:rsid w:val="3CD00C90"/>
    <w:rsid w:val="3D7E533C"/>
    <w:rsid w:val="41A6583F"/>
    <w:rsid w:val="47962389"/>
    <w:rsid w:val="4C35155C"/>
    <w:rsid w:val="4C6709DD"/>
    <w:rsid w:val="4E4A17FE"/>
    <w:rsid w:val="508C1DCB"/>
    <w:rsid w:val="5160707C"/>
    <w:rsid w:val="51E910B1"/>
    <w:rsid w:val="53AE40CE"/>
    <w:rsid w:val="54904A5C"/>
    <w:rsid w:val="56C2517C"/>
    <w:rsid w:val="571526B6"/>
    <w:rsid w:val="580469B3"/>
    <w:rsid w:val="5B351399"/>
    <w:rsid w:val="5B6E2B54"/>
    <w:rsid w:val="5C1A0D2E"/>
    <w:rsid w:val="5C381321"/>
    <w:rsid w:val="5D5E3BCB"/>
    <w:rsid w:val="5E7E7DF8"/>
    <w:rsid w:val="60DE67F4"/>
    <w:rsid w:val="64131D21"/>
    <w:rsid w:val="645615B0"/>
    <w:rsid w:val="67E718D7"/>
    <w:rsid w:val="6D156B14"/>
    <w:rsid w:val="6D967499"/>
    <w:rsid w:val="71FB1ABE"/>
    <w:rsid w:val="74AA42AD"/>
    <w:rsid w:val="763A3FE7"/>
    <w:rsid w:val="78323697"/>
    <w:rsid w:val="78325867"/>
    <w:rsid w:val="78E319B8"/>
    <w:rsid w:val="793161B0"/>
    <w:rsid w:val="7C5E21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customStyle="1" w:styleId="7">
    <w:name w:val="_Style 1"/>
    <w:basedOn w:val="8"/>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8">
    <w:name w:val="正文 New New New New New New New New New New New New New New New New New New New New New New New New New New New New New New New"/>
    <w:next w:val="7"/>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0">
    <w:name w:val="我的正文"/>
    <w:basedOn w:val="11"/>
    <w:qFormat/>
    <w:uiPriority w:val="0"/>
    <w:pPr>
      <w:spacing w:line="560" w:lineRule="exact"/>
      <w:ind w:firstLine="200" w:firstLineChars="200"/>
    </w:pPr>
    <w:rPr>
      <w:rFonts w:eastAsia="仿宋_GB2312"/>
      <w:sz w:val="32"/>
      <w:szCs w:val="32"/>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0"/>
    <w:basedOn w:val="1"/>
    <w:qFormat/>
    <w:uiPriority w:val="0"/>
    <w:pPr>
      <w:widowControl/>
    </w:pPr>
    <w:rPr>
      <w:kern w:val="0"/>
      <w:szCs w:val="21"/>
    </w:rPr>
  </w:style>
  <w:style w:type="paragraph" w:customStyle="1" w:styleId="15">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3377</Words>
  <Characters>3714</Characters>
  <Lines>0</Lines>
  <Paragraphs>0</Paragraphs>
  <TotalTime>0</TotalTime>
  <ScaleCrop>false</ScaleCrop>
  <LinksUpToDate>false</LinksUpToDate>
  <CharactersWithSpaces>3756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欧老</cp:lastModifiedBy>
  <cp:lastPrinted>2022-11-14T09:32:00Z</cp:lastPrinted>
  <dcterms:modified xsi:type="dcterms:W3CDTF">2022-12-27T08:15:31Z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1D4C73103A694484A076E64D61A05A0B</vt:lpwstr>
  </property>
</Properties>
</file>